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81" w:rsidRDefault="00324DD4" w:rsidP="0071393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  <w:tab/>
        <w:t xml:space="preserve">     </w:t>
      </w:r>
    </w:p>
    <w:p w:rsidR="00451981" w:rsidRDefault="00324DD4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 1</w:t>
      </w:r>
    </w:p>
    <w:p w:rsidR="00451981" w:rsidRDefault="00324DD4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тендерної документації</w:t>
      </w:r>
    </w:p>
    <w:p w:rsidR="00451981" w:rsidRDefault="00451981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1981" w:rsidRDefault="0045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51981" w:rsidRDefault="0032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Перелік документів та/або інформації, які подаються Учасником процедури закупі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вл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і у складі тендерної пропозиції</w:t>
      </w:r>
    </w:p>
    <w:p w:rsidR="00451981" w:rsidRDefault="00451981">
      <w:pPr>
        <w:spacing w:after="0" w:line="240" w:lineRule="auto"/>
        <w:ind w:left="885"/>
        <w:jc w:val="center"/>
        <w:rPr>
          <w:rFonts w:ascii="Times New Roman" w:eastAsia="Times New Roman" w:hAnsi="Times New Roman" w:cs="Times New Roman"/>
          <w:color w:val="4472C4"/>
          <w:sz w:val="20"/>
          <w:szCs w:val="20"/>
        </w:rPr>
      </w:pPr>
    </w:p>
    <w:tbl>
      <w:tblPr>
        <w:tblStyle w:val="af"/>
        <w:tblW w:w="102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5"/>
        <w:gridCol w:w="3345"/>
        <w:gridCol w:w="6255"/>
      </w:tblGrid>
      <w:tr w:rsidR="00451981">
        <w:trPr>
          <w:trHeight w:val="69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981" w:rsidRDefault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Перелік документів та інформації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ідтвердження відповідності Учасника кваліфікаційним критеріям, визначеним у статті 16 Закону «Про публічні закупівлі»:</w:t>
            </w:r>
          </w:p>
        </w:tc>
      </w:tr>
      <w:tr w:rsidR="00451981">
        <w:trPr>
          <w:trHeight w:val="690"/>
          <w:jc w:val="center"/>
        </w:trPr>
        <w:tc>
          <w:tcPr>
            <w:tcW w:w="3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981" w:rsidRDefault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Кваліфікаційні критерії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1981" w:rsidRDefault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Документи та/або інформація, які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ідтверджують відповідність Учасника кваліфікаційним критеріям</w:t>
            </w:r>
          </w:p>
        </w:tc>
      </w:tr>
      <w:tr w:rsidR="00451981">
        <w:trPr>
          <w:trHeight w:val="1770"/>
          <w:jc w:val="center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A86E8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Наявність документально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ідтвердженого досвіду виконання аналогічного (аналогічних) за предметом закупівлі договору (договорів)</w:t>
            </w:r>
          </w:p>
          <w:p w:rsidR="00451981" w:rsidRDefault="0045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овідк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довільній формі, з інформацією 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 виконаний  аналогічний (аналогічні) за предметом закупі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 договір (договори)  (не менше одного договору).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Аналогічним вважається догові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, за яким учасник постачав  електричну енергію незалежно від того, чи включались послуги  з передачі та/або розподілу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 </w:t>
            </w:r>
          </w:p>
        </w:tc>
      </w:tr>
      <w:tr w:rsidR="00451981">
        <w:trPr>
          <w:trHeight w:val="690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45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45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1.1.2. Не менше одного виконаного аналогічного договору, зазначеного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наданій Учасником </w:t>
            </w:r>
            <w:r>
              <w:rPr>
                <w:rFonts w:ascii="Times New Roman" w:eastAsia="Times New Roman" w:hAnsi="Times New Roman" w:cs="Times New Roman"/>
              </w:rPr>
              <w:t>довідці.</w:t>
            </w:r>
          </w:p>
          <w:p w:rsidR="00451981" w:rsidRPr="0071393E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3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Аналогічний догові</w:t>
            </w:r>
            <w:proofErr w:type="gramStart"/>
            <w:r w:rsidRPr="00713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713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може надаватися без додатків, специфікацій, додаткових угод тощо до аналогічного договору, які зазначені в ньому як невід’ємні частини  договору. Їх відсутність не буде вважатись  невідповідністю тендерної пропозиції  учасника.</w:t>
            </w:r>
          </w:p>
        </w:tc>
      </w:tr>
      <w:tr w:rsidR="00451981">
        <w:trPr>
          <w:trHeight w:val="1185"/>
          <w:jc w:val="center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45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45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1.1.3.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Лист-відгук (або рекомендаційний лист тощо) (не менше одного) від контрагента згідно з аналогічним договором, який зазначено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в дов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ідці та надано у складі тендерної пр</w:t>
            </w:r>
            <w:r>
              <w:rPr>
                <w:rFonts w:ascii="Times New Roman" w:eastAsia="Times New Roman" w:hAnsi="Times New Roman" w:cs="Times New Roman"/>
              </w:rPr>
              <w:t xml:space="preserve">опозиції про належне виконання цього договору. </w:t>
            </w:r>
          </w:p>
        </w:tc>
      </w:tr>
      <w:tr w:rsidR="00451981">
        <w:trPr>
          <w:trHeight w:val="735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Інформація щодо відсутності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ідстав, установлених в пункті 47 Особливостей, відповідно до пункту 5 розділу 3 тендерної документації.</w:t>
            </w:r>
          </w:p>
        </w:tc>
      </w:tr>
      <w:tr w:rsidR="00451981">
        <w:trPr>
          <w:trHeight w:val="78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Pr="0071393E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інших документів та/або інформації, які встановлено відповідно до законодавства для Учасникі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51981">
        <w:trPr>
          <w:trHeight w:val="105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Якщо тендерна пропозиція подається не </w:t>
            </w:r>
            <w:r w:rsidRPr="0071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керівником / </w:t>
            </w:r>
            <w:proofErr w:type="gramStart"/>
            <w:r w:rsidRPr="0071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1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ідписантом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учасника, зазначеним у Єдиному державному реєстрі юридичних осіб, фізичних осіб — підприємців та громадських формувань, а іншою особою, учасник надає довіреність або доручення на таку особу.</w:t>
            </w:r>
          </w:p>
        </w:tc>
      </w:tr>
      <w:tr w:rsidR="00451981">
        <w:trPr>
          <w:trHeight w:val="105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ind w:left="100" w:right="1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Достовірна інформація у вигляді довідки довільної форми,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 зазначити дані про наявність чинної ліцензії або документа дозвільного характеру на провадження виду господарської діяльності, якщо отримання дозволу або ліцензії на провадження такого виду діяльності передбачено законом. </w:t>
            </w:r>
          </w:p>
          <w:p w:rsidR="00451981" w:rsidRDefault="00324DD4">
            <w:pPr>
              <w:spacing w:after="0" w:line="240" w:lineRule="auto"/>
              <w:ind w:left="100" w:right="1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Замість довідки довільної форми учасник може надати чинну ліцензію або документ дозвільного характеру або відповідну Постанову НКРЕКП.</w:t>
            </w:r>
          </w:p>
        </w:tc>
      </w:tr>
      <w:tr w:rsidR="00451981">
        <w:trPr>
          <w:trHeight w:val="902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разі, якщо учасник або його кінцевий бенефіціарний власник, член або учасник (акціонер), що має частку в статутному капіталі 10 і більше відсотків (далі - активи), є громадянином Російської Федерації / Республіки Білорусь/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Ісламської Республіки Іран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проживає на території України на законних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ідставах, учасник у складі тендерної пропозиції має надати стосовно таких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51981" w:rsidRDefault="00324DD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військовий квиток, виданий іноземцю, який в установленому порядку уклав контракт про проходження військової служби у Збройних Силах України, Державній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іальній службі транспорту або Національній гвардії України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</w:p>
          <w:p w:rsidR="00451981" w:rsidRDefault="00324DD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посвідчення біженця чи документ, що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ідтверджує надання притулку в Україні,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</w:p>
          <w:p w:rsidR="00451981" w:rsidRDefault="00324DD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 особи, яка потребує додаткового захисту в Україні,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</w:p>
          <w:p w:rsidR="00451981" w:rsidRDefault="00324DD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 особи, якій надано тимчасовий захист в Україні,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</w:p>
          <w:p w:rsidR="00451981" w:rsidRDefault="00324D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витяг із реєстру територіальної громади, що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ідтверджує зареєстроване або задеклароване місце проживання (перебування) особи разом з посвідкою на тимчасове проживання або посвідкою на постійне проживання або візою.</w:t>
            </w:r>
          </w:p>
          <w:p w:rsidR="00451981" w:rsidRDefault="0045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разі, якщо активи учасника в установленому законодавством порядку передані в управління Національному агентству з питань виявлення, розшуку та управління активами, одержаними від корупційних та інших злочинів», учасник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складі тендерної пропозиції має надати:</w:t>
            </w:r>
          </w:p>
          <w:p w:rsidR="00451981" w:rsidRDefault="00324D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Ухвалу слідчого судді, суду, щодо арешту активі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</w:p>
          <w:p w:rsidR="00451981" w:rsidRDefault="00324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Нотаріально засвідчену копію згоди власника, щодо управління активами,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також:</w:t>
            </w:r>
          </w:p>
          <w:p w:rsidR="00451981" w:rsidRDefault="00324D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майном укладений між Національним агентством з питань виявлення, розшуку та управління активами одержаними від корупційних та інших злочинів та управителем,</w:t>
            </w:r>
          </w:p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</w:t>
            </w:r>
          </w:p>
          <w:p w:rsidR="00451981" w:rsidRDefault="00324D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 Кабінету Міністрів України, щодо управління активами, на які накладено арешт у кримінальному провадженні.</w:t>
            </w:r>
          </w:p>
        </w:tc>
      </w:tr>
      <w:tr w:rsidR="00451981">
        <w:trPr>
          <w:trHeight w:val="795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.4.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разі, якщо тендерна пропозиція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об’єднанням учасників, до неї обов’язково включається документ про створення такого об’єднання.</w:t>
            </w:r>
          </w:p>
        </w:tc>
      </w:tr>
      <w:tr w:rsidR="00451981">
        <w:trPr>
          <w:trHeight w:val="1005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Кваліфікований електронний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ідпис (КЕП), накладений на тендерну пропозицію відповідно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пункту 1 розділу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тендерної документації.</w:t>
            </w:r>
          </w:p>
        </w:tc>
      </w:tr>
      <w:tr w:rsidR="00451981">
        <w:trPr>
          <w:trHeight w:val="2282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.6.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 разі, якщо учасник не повинен складати або відповідно до норм чинного законодавства (в тому числі у разі подання тендерної пропозиції учасником-нерезидентом відповідно до норм законодавства країни реєстрації) не зобов’язаний складати якийсь зі вказаних в положеннях документації документ, накладати електронний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ідпис, то він надає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лист-роз’яснення в довільній формі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якому зазначає законодавчі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ідстави щодо ненадання відповідних документів або ненакладення електронного підпису; або надає копію/ї роз'яснення/нь державних органів щодо цього.</w:t>
            </w:r>
          </w:p>
        </w:tc>
      </w:tr>
      <w:tr w:rsidR="00451981">
        <w:trPr>
          <w:trHeight w:val="105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3</w:t>
            </w:r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.7.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 або копії документів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ідповідно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пункту 7 розділу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тендерної документації (зокрема, тендерна пропозиція та всі документи, які передбачені вимогами тендерної документації та додатками до неї, складаються українською мовою.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 або копії документів (які передбачені вимогами тендерної документації та додатками до неї), які надаються Учасником у складі тендерної пропозиції, викладені іншими мовами,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повинні надаватися разом із їх автентичним перекладом українською мовою).</w:t>
            </w:r>
            <w:proofErr w:type="gramEnd"/>
          </w:p>
        </w:tc>
      </w:tr>
      <w:tr w:rsidR="00451981">
        <w:trPr>
          <w:trHeight w:val="1050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71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bookmarkStart w:id="0" w:name="_GoBack"/>
            <w:bookmarkEnd w:id="0"/>
            <w:r w:rsidR="00324D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.8.</w:t>
            </w:r>
          </w:p>
        </w:tc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981" w:rsidRDefault="00324D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Учасник, який надав найбільш економічно вигідну тендерну пропозицію, що є аномально низькою, повинен надати протягом одного робочого дня з дня визначення найбільш економічно вигідної тендерної пропозиції обгрунтування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ільній формі щодо цін або вартості відповідних товарів, робіт чи послуг тендерної пропозиції.</w:t>
            </w:r>
          </w:p>
        </w:tc>
      </w:tr>
    </w:tbl>
    <w:p w:rsidR="00451981" w:rsidRDefault="0045198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</w:p>
    <w:p w:rsidR="00451981" w:rsidRDefault="004519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1981" w:rsidRDefault="004519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1981" w:rsidRDefault="0045198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1981" w:rsidRDefault="00451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5198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E6"/>
    <w:multiLevelType w:val="multilevel"/>
    <w:tmpl w:val="68088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28578D"/>
    <w:multiLevelType w:val="multilevel"/>
    <w:tmpl w:val="1BEA2B4A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260816"/>
    <w:multiLevelType w:val="multilevel"/>
    <w:tmpl w:val="AFEC9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4CA4CDC"/>
    <w:multiLevelType w:val="multilevel"/>
    <w:tmpl w:val="917E0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BC051F8"/>
    <w:multiLevelType w:val="multilevel"/>
    <w:tmpl w:val="DF266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883708E"/>
    <w:multiLevelType w:val="multilevel"/>
    <w:tmpl w:val="91526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D334608"/>
    <w:multiLevelType w:val="multilevel"/>
    <w:tmpl w:val="EC180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8EB4A66"/>
    <w:multiLevelType w:val="multilevel"/>
    <w:tmpl w:val="BA2806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99E6B1A"/>
    <w:multiLevelType w:val="multilevel"/>
    <w:tmpl w:val="2190E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39D44FC"/>
    <w:multiLevelType w:val="multilevel"/>
    <w:tmpl w:val="57389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9F10F73"/>
    <w:multiLevelType w:val="multilevel"/>
    <w:tmpl w:val="A0BCB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5C26E5E"/>
    <w:multiLevelType w:val="multilevel"/>
    <w:tmpl w:val="AA32E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63A6B43"/>
    <w:multiLevelType w:val="multilevel"/>
    <w:tmpl w:val="4964E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1981"/>
    <w:rsid w:val="00324DD4"/>
    <w:rsid w:val="00451981"/>
    <w:rsid w:val="007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2C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2FD2"/>
    <w:rPr>
      <w:color w:val="0000FF"/>
      <w:u w:val="single"/>
    </w:rPr>
  </w:style>
  <w:style w:type="character" w:customStyle="1" w:styleId="apple-tab-span">
    <w:name w:val="apple-tab-span"/>
    <w:basedOn w:val="a0"/>
    <w:rsid w:val="002C2FD2"/>
  </w:style>
  <w:style w:type="paragraph" w:styleId="a6">
    <w:name w:val="List Paragraph"/>
    <w:basedOn w:val="a"/>
    <w:uiPriority w:val="34"/>
    <w:qFormat/>
    <w:rsid w:val="00562E0D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1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3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2C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2FD2"/>
    <w:rPr>
      <w:color w:val="0000FF"/>
      <w:u w:val="single"/>
    </w:rPr>
  </w:style>
  <w:style w:type="character" w:customStyle="1" w:styleId="apple-tab-span">
    <w:name w:val="apple-tab-span"/>
    <w:basedOn w:val="a0"/>
    <w:rsid w:val="002C2FD2"/>
  </w:style>
  <w:style w:type="paragraph" w:styleId="a6">
    <w:name w:val="List Paragraph"/>
    <w:basedOn w:val="a"/>
    <w:uiPriority w:val="34"/>
    <w:qFormat/>
    <w:rsid w:val="00562E0D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1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3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KibMRVKvFQzngd0uzqkgq2KAA==">CgMxLjAaHwoBMBIaChgICVIUChJ0YWJsZS55czcxdGMzbzd5OGUyCGguZ2pkZ3hzOAByITF2MWlsMkdMOXJGRl9YbWdXZUVZSmUxT0k3d3pvRExYRg==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4925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Белякова</dc:creator>
  <cp:lastModifiedBy>User-IRC</cp:lastModifiedBy>
  <cp:revision>3</cp:revision>
  <dcterms:created xsi:type="dcterms:W3CDTF">2024-11-29T11:44:00Z</dcterms:created>
  <dcterms:modified xsi:type="dcterms:W3CDTF">2024-11-29T11:51:00Z</dcterms:modified>
</cp:coreProperties>
</file>